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6.4  ·  SECTION 6: ISO 20000 IN THE INDONESIAN CONTEXT</w:t>
      </w:r>
    </w:p>
    <w:p>
      <w:pPr>
        <w:spacing w:after="120"/>
      </w:pPr>
      <w:r>
        <w:rPr>
          <w:rFonts w:ascii="Arial" w:cs="Arial" w:eastAsia="Arial" w:hAnsi="Arial"/>
          <w:b/>
          <w:bCs/>
          <w:caps w:val="false"/>
          <w:color w:val="1B3A5C"/>
          <w:sz w:val="44"/>
          <w:szCs w:val="44"/>
        </w:rPr>
        <w:t xml:space="preserve">ISO 20000 for Government and Public Sector IT in Indonesia</w:t>
      </w:r>
    </w:p>
    <w:p>
      <w:pPr>
        <w:spacing w:after="60"/>
      </w:pPr>
      <w:r>
        <w:rPr>
          <w:rFonts w:ascii="Georgia" w:cs="Georgia" w:eastAsia="Georgia" w:hAnsi="Georgia"/>
          <w:b w:val="false"/>
          <w:bCs w:val="false"/>
          <w:color w:val="4B5563"/>
          <w:sz w:val="24"/>
          <w:szCs w:val="24"/>
        </w:rPr>
        <w:t xml:space="preserve">ISO 20000 in the Indonesian government technology context — SPBE service management requirements, BSSN IT service security integration, government data center service management, and how ISO 20000 certification strengthens government IT vendor procurement eligibility.</w:t>
      </w:r>
    </w:p>
    <w:p>
      <w:pPr>
        <w:spacing w:after="40"/>
      </w:pPr>
      <w:r>
        <w:rPr>
          <w:rFonts w:ascii="Arial" w:cs="Arial" w:eastAsia="Arial" w:hAnsi="Arial"/>
          <w:b w:val="false"/>
          <w:bCs w:val="false"/>
          <w:caps w:val="false"/>
          <w:color w:val="9CA3AF"/>
          <w:sz w:val="18"/>
          <w:szCs w:val="18"/>
        </w:rPr>
        <w:t xml:space="preserve">Bitlion GRC Documentation  ·  Updated April 2026  ·  Reading time: ~12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The Government IT Landscape in Indonesia</w:t>
      </w:r>
    </w:p>
    <w:p>
      <w:pPr>
        <w:spacing w:after="160" w:line="320"/>
        <w:jc w:val="both"/>
      </w:pPr>
      <w:r>
        <w:rPr>
          <w:rFonts w:ascii="Georgia" w:cs="Georgia" w:eastAsia="Georgia" w:hAnsi="Georgia"/>
          <w:b w:val="false"/>
          <w:bCs w:val="false"/>
          <w:color w:val="111827"/>
          <w:sz w:val="22"/>
          <w:szCs w:val="22"/>
        </w:rPr>
        <w:t xml:space="preserve">Indonesia's digital government transformation is framed by SPBE (Sistem Pemerintahan Berbasis Elektronik), the electronic government system established under Presidential Regulation (Perpres) 95/2018. SPBE vision is to modernize government service delivery through digital platforms. The Ministry of Communication and Information Technology (Kominfo/Kementerian Komunikasi dan Informatika) drives the SPBE program and digital transformation agenda. The National Cyber and Code Agency (Badan Siber dan Sandi Negara — BSSN) provides cybersecurity oversight.</w:t>
      </w:r>
    </w:p>
    <w:p>
      <w:pPr>
        <w:spacing w:after="160" w:line="320"/>
        <w:jc w:val="both"/>
      </w:pPr>
      <w:r>
        <w:rPr>
          <w:rFonts w:ascii="Georgia" w:cs="Georgia" w:eastAsia="Georgia" w:hAnsi="Georgia"/>
          <w:b w:val="false"/>
          <w:bCs w:val="false"/>
          <w:color w:val="111827"/>
          <w:sz w:val="22"/>
          <w:szCs w:val="22"/>
        </w:rPr>
        <w:t xml:space="preserve">Indonesian government IT spending is substantial. Government ministries and agencies (K/L — Kementerian/Lembaga) and state-owned enterprises (BUMN — Badan Usaha Milik Negara) collectively manage thousands of IT services supporting government operations and citizen-facing services. The IT service delivery environment is complex: services span internal operations, inter-agency integrations, citizen portals, and critical infrastructure support.</w:t>
      </w:r>
    </w:p>
    <w:p>
      <w:pPr>
        <w:spacing w:after="160" w:line="320"/>
        <w:jc w:val="both"/>
      </w:pPr>
      <w:r>
        <w:rPr>
          <w:rFonts w:ascii="Georgia" w:cs="Georgia" w:eastAsia="Georgia" w:hAnsi="Georgia"/>
          <w:b w:val="false"/>
          <w:bCs w:val="false"/>
          <w:color w:val="111827"/>
          <w:sz w:val="22"/>
          <w:szCs w:val="22"/>
        </w:rPr>
        <w:t xml:space="preserve">Post-PDNS (the July 2024 ransomware attack on the National Data Center affecting multiple government services), there is heightened scrutiny of IT service management and security for government IT suppliers. Government procurement criteria have shifted decisively toward requiring independently verified service management and security credentials.</w:t>
      </w:r>
    </w:p>
    <w:p>
      <w:pPr>
        <w:pBdr>
          <w:bottom w:val="single" w:color="2563A8" w:sz="4" w:space="4"/>
        </w:pBdr>
        <w:spacing w:after="160" w:before="400"/>
      </w:pPr>
      <w:r>
        <w:rPr>
          <w:rFonts w:ascii="Arial" w:cs="Arial" w:eastAsia="Arial" w:hAnsi="Arial"/>
          <w:b/>
          <w:bCs/>
          <w:caps w:val="false"/>
          <w:color w:val="1B3A5C"/>
          <w:sz w:val="28"/>
          <w:szCs w:val="28"/>
        </w:rPr>
        <w:t xml:space="preserve">SPBE Requirements and ISO 20000 Alignment</w:t>
      </w:r>
    </w:p>
    <w:p>
      <w:pPr>
        <w:spacing w:after="80" w:before="200"/>
      </w:pPr>
      <w:r>
        <w:rPr>
          <w:rFonts w:ascii="Arial" w:cs="Arial" w:eastAsia="Arial" w:hAnsi="Arial"/>
          <w:b/>
          <w:bCs/>
          <w:caps w:val="false"/>
          <w:color w:val="1B3A5C"/>
          <w:sz w:val="22"/>
          <w:szCs w:val="22"/>
        </w:rPr>
        <w:t xml:space="preserve">SPBE IT Governance Framework</w:t>
      </w:r>
    </w:p>
    <w:p>
      <w:pPr>
        <w:spacing w:after="160" w:line="320"/>
        <w:jc w:val="both"/>
      </w:pPr>
      <w:r>
        <w:rPr>
          <w:rFonts w:ascii="Georgia" w:cs="Georgia" w:eastAsia="Georgia" w:hAnsi="Georgia"/>
          <w:b w:val="false"/>
          <w:bCs w:val="false"/>
          <w:color w:val="111827"/>
          <w:sz w:val="22"/>
          <w:szCs w:val="22"/>
        </w:rPr>
        <w:t xml:space="preserve">SPBE requirements under Perpres 95/2018 and derivative regulations establish IT governance expectations for government agencies. The SPBE framework addresses IT architecture, IT service delivery, IT security, IT investment management, and IT organizational capability.</w:t>
      </w:r>
    </w:p>
    <w:p>
      <w:pPr>
        <w:spacing w:after="160" w:line="320"/>
        <w:jc w:val="both"/>
      </w:pPr>
      <w:r>
        <w:rPr>
          <w:rFonts w:ascii="Georgia" w:cs="Georgia" w:eastAsia="Georgia" w:hAnsi="Georgia"/>
          <w:b w:val="false"/>
          <w:bCs w:val="false"/>
          <w:color w:val="111827"/>
          <w:sz w:val="22"/>
          <w:szCs w:val="22"/>
        </w:rPr>
        <w:t xml:space="preserve">SPBE's IT governance requirements include service availability and reliability targets, incident management and response capability, change management and testing discipline, and IT service management documentation. These requirements are functionally aligned with ISO 20000 governance scope.</w:t>
      </w:r>
    </w:p>
    <w:p>
      <w:pPr>
        <w:spacing w:after="80" w:before="200"/>
      </w:pPr>
      <w:r>
        <w:rPr>
          <w:rFonts w:ascii="Arial" w:cs="Arial" w:eastAsia="Arial" w:hAnsi="Arial"/>
          <w:b/>
          <w:bCs/>
          <w:caps w:val="false"/>
          <w:color w:val="1B3A5C"/>
          <w:sz w:val="22"/>
          <w:szCs w:val="22"/>
        </w:rPr>
        <w:t xml:space="preserve">Service Management Alignment</w:t>
      </w:r>
    </w:p>
    <w:p>
      <w:pPr>
        <w:spacing w:after="160" w:line="320"/>
        <w:jc w:val="both"/>
      </w:pPr>
      <w:r>
        <w:rPr>
          <w:rFonts w:ascii="Georgia" w:cs="Georgia" w:eastAsia="Georgia" w:hAnsi="Georgia"/>
          <w:b w:val="false"/>
          <w:bCs w:val="false"/>
          <w:color w:val="111827"/>
          <w:sz w:val="22"/>
          <w:szCs w:val="22"/>
        </w:rPr>
        <w:t xml:space="preserve">SPBE requires that government IT services be designed, delivered, and managed according to documented service management principles. Services must be available according to defined targets, incidents must be managed with defined response times, changes must be tested before deployment, and IT infrastructure must be maintained in a known configuration.</w:t>
      </w:r>
    </w:p>
    <w:p>
      <w:pPr>
        <w:spacing w:after="160" w:line="320"/>
        <w:jc w:val="both"/>
      </w:pPr>
      <w:r>
        <w:rPr>
          <w:rFonts w:ascii="Georgia" w:cs="Georgia" w:eastAsia="Georgia" w:hAnsi="Georgia"/>
          <w:b w:val="false"/>
          <w:bCs w:val="false"/>
          <w:color w:val="111827"/>
          <w:sz w:val="22"/>
          <w:szCs w:val="22"/>
        </w:rPr>
        <w:t xml:space="preserve">ISO 20000 Clause 8 practice areas (incident, problem, change, configuration, availability, continuity management) directly align with SPBE's IT service management requirements. An organization with an ISO 20000-certified SMS can demonstrate SPBE compliance through the certification evidence base.</w:t>
      </w:r>
    </w:p>
    <w:p>
      <w:pPr>
        <w:spacing w:after="80" w:before="200"/>
      </w:pPr>
      <w:r>
        <w:rPr>
          <w:rFonts w:ascii="Arial" w:cs="Arial" w:eastAsia="Arial" w:hAnsi="Arial"/>
          <w:b/>
          <w:bCs/>
          <w:caps w:val="false"/>
          <w:color w:val="1B3A5C"/>
          <w:sz w:val="22"/>
          <w:szCs w:val="22"/>
        </w:rPr>
        <w:t xml:space="preserve">SPBE Audit and Assessment</w:t>
      </w:r>
    </w:p>
    <w:p>
      <w:pPr>
        <w:spacing w:after="160" w:line="320"/>
        <w:jc w:val="both"/>
      </w:pPr>
      <w:r>
        <w:rPr>
          <w:rFonts w:ascii="Georgia" w:cs="Georgia" w:eastAsia="Georgia" w:hAnsi="Georgia"/>
          <w:b w:val="false"/>
          <w:bCs w:val="false"/>
          <w:color w:val="111827"/>
          <w:sz w:val="22"/>
          <w:szCs w:val="22"/>
        </w:rPr>
        <w:t xml:space="preserve">SPBE compliance is assessed through government IT audits conducted by Inspectorat Jenderal (internal audit bodies within ministries), the Supreme Audit Board (BPK), and BSSN. SPBE audit criteria evaluate whether IT services are documented, whether availability is monitored, whether incident response times are met, and whether changes are controlled.</w:t>
      </w:r>
    </w:p>
    <w:p>
      <w:pPr>
        <w:spacing w:after="160" w:line="320"/>
        <w:jc w:val="both"/>
      </w:pPr>
      <w:r>
        <w:rPr>
          <w:rFonts w:ascii="Georgia" w:cs="Georgia" w:eastAsia="Georgia" w:hAnsi="Georgia"/>
          <w:b w:val="false"/>
          <w:bCs w:val="false"/>
          <w:color w:val="111827"/>
          <w:sz w:val="22"/>
          <w:szCs w:val="22"/>
        </w:rPr>
        <w:t xml:space="preserve">ISO 20000 certification provides documented evidence that these criteria are met. The certification report, scope statement, and SMS documentation comprise the audit evidence that government auditors require.</w:t>
      </w:r>
    </w:p>
    <w:p>
      <w:pPr>
        <w:pBdr>
          <w:bottom w:val="single" w:color="2563A8" w:sz="4" w:space="4"/>
        </w:pBdr>
        <w:spacing w:after="160" w:before="400"/>
      </w:pPr>
      <w:r>
        <w:rPr>
          <w:rFonts w:ascii="Arial" w:cs="Arial" w:eastAsia="Arial" w:hAnsi="Arial"/>
          <w:b/>
          <w:bCs/>
          <w:caps w:val="false"/>
          <w:color w:val="1B3A5C"/>
          <w:sz w:val="28"/>
          <w:szCs w:val="28"/>
        </w:rPr>
        <w:t xml:space="preserve">The PDNS Incident and Its Implications</w:t>
      </w:r>
    </w:p>
    <w:p>
      <w:pPr>
        <w:spacing w:after="160" w:line="320"/>
        <w:jc w:val="both"/>
      </w:pPr>
      <w:r>
        <w:rPr>
          <w:rFonts w:ascii="Georgia" w:cs="Georgia" w:eastAsia="Georgia" w:hAnsi="Georgia"/>
          <w:b w:val="false"/>
          <w:bCs w:val="false"/>
          <w:color w:val="111827"/>
          <w:sz w:val="22"/>
          <w:szCs w:val="22"/>
        </w:rPr>
        <w:t xml:space="preserve">In July 2024, the Pusat Data Nasional (National Data Center) supporting government digital services was compromised in a ransomware attack. The incident disrupted government digital services across multiple agencies for an extended period. The incident revealed gaps in IT service management, incident response capability, and security monitoring.</w:t>
      </w:r>
    </w:p>
    <w:p>
      <w:pPr>
        <w:spacing w:after="160" w:line="320"/>
        <w:jc w:val="both"/>
      </w:pPr>
      <w:r>
        <w:rPr>
          <w:rFonts w:ascii="Georgia" w:cs="Georgia" w:eastAsia="Georgia" w:hAnsi="Georgia"/>
          <w:b w:val="false"/>
          <w:bCs w:val="false"/>
          <w:color w:val="111827"/>
          <w:sz w:val="22"/>
          <w:szCs w:val="22"/>
        </w:rPr>
        <w:t xml:space="preserve">Post-PDNS, government procurement criteria have intensified scrutiny of IT service management capability in supplier selection. Government tenders now commonly include ISO 20000 certification as a required qualification. Government IT examinations now assess SMS maturity with heightened urgency. The PDNS incident has created a regulatory and procurement imperative for IT service management certification in government IT supply chains.</w:t>
      </w:r>
    </w:p>
    <w:p>
      <w:pPr>
        <w:pBdr>
          <w:bottom w:val="single" w:color="2563A8" w:sz="4" w:space="4"/>
        </w:pBdr>
        <w:spacing w:after="160" w:before="400"/>
      </w:pPr>
      <w:r>
        <w:rPr>
          <w:rFonts w:ascii="Arial" w:cs="Arial" w:eastAsia="Arial" w:hAnsi="Arial"/>
          <w:b/>
          <w:bCs/>
          <w:caps w:val="false"/>
          <w:color w:val="1B3A5C"/>
          <w:sz w:val="28"/>
          <w:szCs w:val="28"/>
        </w:rPr>
        <w:t xml:space="preserve">BSSN IT Security Requirements Alignment</w:t>
      </w:r>
    </w:p>
    <w:p>
      <w:pPr>
        <w:spacing w:after="160" w:line="320"/>
        <w:jc w:val="both"/>
      </w:pPr>
      <w:r>
        <w:rPr>
          <w:rFonts w:ascii="Georgia" w:cs="Georgia" w:eastAsia="Georgia" w:hAnsi="Georgia"/>
          <w:b w:val="false"/>
          <w:bCs w:val="false"/>
          <w:color w:val="111827"/>
          <w:sz w:val="22"/>
          <w:szCs w:val="22"/>
        </w:rPr>
        <w:t xml:space="preserve">BSSN provides cybersecurity oversight for government information systems through the Framework Keamanan Siber Nasional (National Cybersecurity Framework). The framework establishes security controls and governance practices for critical government systems.</w:t>
      </w:r>
    </w:p>
    <w:p>
      <w:pPr>
        <w:spacing w:after="160" w:line="320"/>
        <w:jc w:val="both"/>
      </w:pPr>
      <w:r>
        <w:rPr>
          <w:rFonts w:ascii="Georgia" w:cs="Georgia" w:eastAsia="Georgia" w:hAnsi="Georgia"/>
          <w:b w:val="false"/>
          <w:bCs w:val="false"/>
          <w:color w:val="111827"/>
          <w:sz w:val="22"/>
          <w:szCs w:val="22"/>
        </w:rPr>
        <w:t xml:space="preserve">IT service management practices directly support BSSN cybersecurity implementation. Incident management enables rapid detection and response to security incidents. Change management prevents unauthorized configuration changes. Configuration management maintains visibility of security-relevant infrastructure. These practices are covered by ISO 20000 Clause 8.</w:t>
      </w:r>
    </w:p>
    <w:p>
      <w:pPr>
        <w:spacing w:after="160" w:line="320"/>
        <w:jc w:val="both"/>
      </w:pPr>
      <w:r>
        <w:rPr>
          <w:rFonts w:ascii="Georgia" w:cs="Georgia" w:eastAsia="Georgia" w:hAnsi="Georgia"/>
          <w:b w:val="false"/>
          <w:bCs w:val="false"/>
          <w:color w:val="111827"/>
          <w:sz w:val="22"/>
          <w:szCs w:val="22"/>
        </w:rPr>
        <w:t xml:space="preserve">For government IT suppliers, the combination of ISO 20000 (IT service management) and ISO 27001 (information security) certifications is the preferred credential set. Together, these certifications demonstrate that the supplier meets both IT service management and cybersecurity expectations.</w:t>
      </w:r>
    </w:p>
    <w:p>
      <w:pPr>
        <w:pBdr>
          <w:bottom w:val="single" w:color="2563A8" w:sz="4" w:space="4"/>
        </w:pBdr>
        <w:spacing w:after="160" w:before="400"/>
      </w:pPr>
      <w:r>
        <w:rPr>
          <w:rFonts w:ascii="Arial" w:cs="Arial" w:eastAsia="Arial" w:hAnsi="Arial"/>
          <w:b/>
          <w:bCs/>
          <w:caps w:val="false"/>
          <w:color w:val="1B3A5C"/>
          <w:sz w:val="28"/>
          <w:szCs w:val="28"/>
        </w:rPr>
        <w:t xml:space="preserve">Government Procurement and ISO 20000</w:t>
      </w:r>
    </w:p>
    <w:p>
      <w:pPr>
        <w:spacing w:after="80" w:before="200"/>
      </w:pPr>
      <w:r>
        <w:rPr>
          <w:rFonts w:ascii="Arial" w:cs="Arial" w:eastAsia="Arial" w:hAnsi="Arial"/>
          <w:b/>
          <w:bCs/>
          <w:caps w:val="false"/>
          <w:color w:val="1B3A5C"/>
          <w:sz w:val="22"/>
          <w:szCs w:val="22"/>
        </w:rPr>
        <w:t xml:space="preserve">K/L and BUMN Procurement Frameworks</w:t>
      </w:r>
    </w:p>
    <w:p>
      <w:pPr>
        <w:spacing w:after="160" w:line="320"/>
        <w:jc w:val="both"/>
      </w:pPr>
      <w:r>
        <w:rPr>
          <w:rFonts w:ascii="Georgia" w:cs="Georgia" w:eastAsia="Georgia" w:hAnsi="Georgia"/>
          <w:b w:val="false"/>
          <w:bCs w:val="false"/>
          <w:color w:val="111827"/>
          <w:sz w:val="22"/>
          <w:szCs w:val="22"/>
        </w:rPr>
        <w:t xml:space="preserve">Government and BUMN procurement operates under the LKPP (Lembaga Kebijakan Pengadaan Barang/Jasa Pemerintah) framework. Procurement processes include pengadaan langsung (direct procurement for small contracts), seleksi (competitive procurement), and tender (formal bidding for large contracts).</w:t>
      </w:r>
    </w:p>
    <w:p>
      <w:pPr>
        <w:spacing w:after="160" w:line="320"/>
        <w:jc w:val="both"/>
      </w:pPr>
      <w:r>
        <w:rPr>
          <w:rFonts w:ascii="Georgia" w:cs="Georgia" w:eastAsia="Georgia" w:hAnsi="Georgia"/>
          <w:b w:val="false"/>
          <w:bCs w:val="false"/>
          <w:color w:val="111827"/>
          <w:sz w:val="22"/>
          <w:szCs w:val="22"/>
        </w:rPr>
        <w:t xml:space="preserve">The SIKAP system (Sistem Informasi Kinerja Penyedia) is the government vendor pre-qualification registry. Vendors must register in SIKAP and maintain current certifications and qualifications to be eligible for government procurement. ISO 20000 certification is explicitly recognized in SIKAP as a qualifying credential for IT service providers.</w:t>
      </w:r>
    </w:p>
    <w:p>
      <w:pPr>
        <w:spacing w:after="80" w:before="200"/>
      </w:pPr>
      <w:r>
        <w:rPr>
          <w:rFonts w:ascii="Arial" w:cs="Arial" w:eastAsia="Arial" w:hAnsi="Arial"/>
          <w:b/>
          <w:bCs/>
          <w:caps w:val="false"/>
          <w:color w:val="1B3A5C"/>
          <w:sz w:val="22"/>
          <w:szCs w:val="22"/>
        </w:rPr>
        <w:t xml:space="preserve">Technical Qualification Criteria</w:t>
      </w:r>
    </w:p>
    <w:p>
      <w:pPr>
        <w:spacing w:after="160" w:line="320"/>
        <w:jc w:val="both"/>
      </w:pPr>
      <w:r>
        <w:rPr>
          <w:rFonts w:ascii="Georgia" w:cs="Georgia" w:eastAsia="Georgia" w:hAnsi="Georgia"/>
          <w:b w:val="false"/>
          <w:bCs w:val="false"/>
          <w:color w:val="111827"/>
          <w:sz w:val="22"/>
          <w:szCs w:val="22"/>
        </w:rPr>
        <w:t xml:space="preserve">Government RFPs for IT services commonly include technical qualification criteria. ISO 20000 certification is increasingly specified as a pass/fail qualification requirement or as a weighted evaluation criterion. For example, a government IT services tender might specify: "ISO 20000 certification required for pass/fail qualification; alternative SMS capability may be proposed for evaluator assessment; ISO 20000 certification is weighted as 20 points in technical evaluation scoring."</w:t>
      </w:r>
    </w:p>
    <w:p>
      <w:pPr>
        <w:spacing w:after="160" w:line="320"/>
        <w:jc w:val="both"/>
      </w:pPr>
      <w:r>
        <w:rPr>
          <w:rFonts w:ascii="Georgia" w:cs="Georgia" w:eastAsia="Georgia" w:hAnsi="Georgia"/>
          <w:b w:val="false"/>
          <w:bCs w:val="false"/>
          <w:color w:val="111827"/>
          <w:sz w:val="22"/>
          <w:szCs w:val="22"/>
        </w:rPr>
        <w:t xml:space="preserve">The most competitive vendors are those with current ISO 20000 certification and evidence of ISO-certified SMS maturity through past government project performance data.</w:t>
      </w:r>
    </w:p>
    <w:p>
      <w:pPr>
        <w:pBdr>
          <w:bottom w:val="single" w:color="2563A8" w:sz="4" w:space="4"/>
        </w:pBdr>
        <w:spacing w:after="160" w:before="400"/>
      </w:pPr>
      <w:r>
        <w:rPr>
          <w:rFonts w:ascii="Arial" w:cs="Arial" w:eastAsia="Arial" w:hAnsi="Arial"/>
          <w:b/>
          <w:bCs/>
          <w:caps w:val="false"/>
          <w:color w:val="1B3A5C"/>
          <w:sz w:val="28"/>
          <w:szCs w:val="28"/>
        </w:rPr>
        <w:t xml:space="preserve">Government Data Center Service Management</w:t>
      </w:r>
    </w:p>
    <w:p>
      <w:pPr>
        <w:spacing w:after="160" w:line="320"/>
        <w:jc w:val="both"/>
      </w:pPr>
      <w:r>
        <w:rPr>
          <w:rFonts w:ascii="Georgia" w:cs="Georgia" w:eastAsia="Georgia" w:hAnsi="Georgia"/>
          <w:b w:val="false"/>
          <w:bCs w:val="false"/>
          <w:color w:val="111827"/>
          <w:sz w:val="22"/>
          <w:szCs w:val="22"/>
        </w:rPr>
        <w:t xml:space="preserve">Government data centers (particularly the Pusat Data Nasional and regional government data centers) manage critical government IT infrastructure. Service management for government data centers must address availability of critical services, incident response under government operational constraints, and multi-agency dependencies.</w:t>
      </w:r>
    </w:p>
    <w:p>
      <w:pPr>
        <w:spacing w:after="160" w:line="320"/>
        <w:jc w:val="both"/>
      </w:pPr>
      <w:r>
        <w:rPr>
          <w:rFonts w:ascii="Georgia" w:cs="Georgia" w:eastAsia="Georgia" w:hAnsi="Georgia"/>
          <w:b w:val="false"/>
          <w:bCs w:val="false"/>
          <w:color w:val="111827"/>
          <w:sz w:val="22"/>
          <w:szCs w:val="22"/>
        </w:rPr>
        <w:t xml:space="preserve">Government data centers often host multiple agencies' systems. A change to shared infrastructure (networking, power, cooling) may affect multiple agencies simultaneously. Change management must coordinate affected agencies and must accommodate different change windows and approval processes for different agencies.</w:t>
      </w:r>
    </w:p>
    <w:p>
      <w:pPr>
        <w:spacing w:after="160" w:line="320"/>
        <w:jc w:val="both"/>
      </w:pPr>
      <w:r>
        <w:rPr>
          <w:rFonts w:ascii="Georgia" w:cs="Georgia" w:eastAsia="Georgia" w:hAnsi="Georgia"/>
          <w:b w:val="false"/>
          <w:bCs w:val="false"/>
          <w:color w:val="111827"/>
          <w:sz w:val="22"/>
          <w:szCs w:val="22"/>
        </w:rPr>
        <w:t xml:space="preserve">Availability and continuity management for government data centers must account for political and media sensitivity of major IT incidents affecting government services. Major incidents are often immediately escalated to high-level government officials and may trigger media coverage. Incident communication plans must be comprehensive and must be pre-approved by government leadership.</w:t>
      </w:r>
    </w:p>
    <w:p>
      <w:pPr>
        <w:pBdr>
          <w:bottom w:val="single" w:color="2563A8" w:sz="4" w:space="4"/>
        </w:pBdr>
        <w:spacing w:after="160" w:before="400"/>
      </w:pPr>
      <w:r>
        <w:rPr>
          <w:rFonts w:ascii="Arial" w:cs="Arial" w:eastAsia="Arial" w:hAnsi="Arial"/>
          <w:b/>
          <w:bCs/>
          <w:caps w:val="false"/>
          <w:color w:val="1B3A5C"/>
          <w:sz w:val="28"/>
          <w:szCs w:val="28"/>
        </w:rPr>
        <w:t xml:space="preserve">Managing Government-Specific Service Management Challenges</w:t>
      </w:r>
    </w:p>
    <w:p>
      <w:pPr>
        <w:spacing w:after="80" w:before="200"/>
      </w:pPr>
      <w:r>
        <w:rPr>
          <w:rFonts w:ascii="Arial" w:cs="Arial" w:eastAsia="Arial" w:hAnsi="Arial"/>
          <w:b/>
          <w:bCs/>
          <w:caps w:val="false"/>
          <w:color w:val="1B3A5C"/>
          <w:sz w:val="22"/>
          <w:szCs w:val="22"/>
        </w:rPr>
        <w:t xml:space="preserve">Change Approval Chains</w:t>
      </w:r>
    </w:p>
    <w:p>
      <w:pPr>
        <w:spacing w:after="160" w:line="320"/>
        <w:jc w:val="both"/>
      </w:pPr>
      <w:r>
        <w:rPr>
          <w:rFonts w:ascii="Georgia" w:cs="Georgia" w:eastAsia="Georgia" w:hAnsi="Georgia"/>
          <w:b w:val="false"/>
          <w:bCs w:val="false"/>
          <w:color w:val="111827"/>
          <w:sz w:val="22"/>
          <w:szCs w:val="22"/>
        </w:rPr>
        <w:t xml:space="preserve">Government change management involves longer approval chains than private sector IT. A change may require approval from the IT department, the business unit, compliance/audit, and potentially multiple government offices. Change windows are often constrained to government working hours and pre-announced public holidays.</w:t>
      </w:r>
    </w:p>
    <w:p>
      <w:pPr>
        <w:spacing w:after="160" w:line="320"/>
        <w:jc w:val="both"/>
      </w:pPr>
      <w:r>
        <w:rPr>
          <w:rFonts w:ascii="Georgia" w:cs="Georgia" w:eastAsia="Georgia" w:hAnsi="Georgia"/>
          <w:b w:val="false"/>
          <w:bCs w:val="false"/>
          <w:color w:val="111827"/>
          <w:sz w:val="22"/>
          <w:szCs w:val="22"/>
        </w:rPr>
        <w:t xml:space="preserve">The SMS must accommodate these constraints. Change procedures must specify the approval authority, approval timeline, and escalation path for changes that require cross-agency coordination.</w:t>
      </w:r>
    </w:p>
    <w:p>
      <w:pPr>
        <w:spacing w:after="80" w:before="200"/>
      </w:pPr>
      <w:r>
        <w:rPr>
          <w:rFonts w:ascii="Arial" w:cs="Arial" w:eastAsia="Arial" w:hAnsi="Arial"/>
          <w:b/>
          <w:bCs/>
          <w:caps w:val="false"/>
          <w:color w:val="1B3A5C"/>
          <w:sz w:val="22"/>
          <w:szCs w:val="22"/>
        </w:rPr>
        <w:t xml:space="preserve">Procurement and Emergency Contracting</w:t>
      </w:r>
    </w:p>
    <w:p>
      <w:pPr>
        <w:spacing w:after="160" w:line="320"/>
        <w:jc w:val="both"/>
      </w:pPr>
      <w:r>
        <w:rPr>
          <w:rFonts w:ascii="Georgia" w:cs="Georgia" w:eastAsia="Georgia" w:hAnsi="Georgia"/>
          <w:b w:val="false"/>
          <w:bCs w:val="false"/>
          <w:color w:val="111827"/>
          <w:sz w:val="22"/>
          <w:szCs w:val="22"/>
        </w:rPr>
        <w:t xml:space="preserve">Government procurement rules restrict emergency spending. If a critical system fails and replacement parts are required, the government IT department may not be able to immediately purchase replacement parts outside normal procurement cycles. Emergency contracting authority exists but requires documented justification.</w:t>
      </w:r>
    </w:p>
    <w:p>
      <w:pPr>
        <w:spacing w:after="160" w:line="320"/>
        <w:jc w:val="both"/>
      </w:pPr>
      <w:r>
        <w:rPr>
          <w:rFonts w:ascii="Georgia" w:cs="Georgia" w:eastAsia="Georgia" w:hAnsi="Georgia"/>
          <w:b w:val="false"/>
          <w:bCs w:val="false"/>
          <w:color w:val="111827"/>
          <w:sz w:val="22"/>
          <w:szCs w:val="22"/>
        </w:rPr>
        <w:t xml:space="preserve">Service management must account for these constraints. Spare parts inventory must be pre-approved and pre-budgeted. Incident resolution timelines must reflect potential procurement delays for emergency parts.</w:t>
      </w:r>
    </w:p>
    <w:p>
      <w:pPr>
        <w:spacing w:after="80" w:before="200"/>
      </w:pPr>
      <w:r>
        <w:rPr>
          <w:rFonts w:ascii="Arial" w:cs="Arial" w:eastAsia="Arial" w:hAnsi="Arial"/>
          <w:b/>
          <w:bCs/>
          <w:caps w:val="false"/>
          <w:color w:val="1B3A5C"/>
          <w:sz w:val="22"/>
          <w:szCs w:val="22"/>
        </w:rPr>
        <w:t xml:space="preserve">Inter-Agency Dependencies</w:t>
      </w:r>
    </w:p>
    <w:p>
      <w:pPr>
        <w:spacing w:after="160" w:line="320"/>
        <w:jc w:val="both"/>
      </w:pPr>
      <w:r>
        <w:rPr>
          <w:rFonts w:ascii="Georgia" w:cs="Georgia" w:eastAsia="Georgia" w:hAnsi="Georgia"/>
          <w:b w:val="false"/>
          <w:bCs w:val="false"/>
          <w:color w:val="111827"/>
          <w:sz w:val="22"/>
          <w:szCs w:val="22"/>
        </w:rPr>
        <w:t xml:space="preserve">Many government services depend on other agencies' IT systems. A delay in one agency's system impacts services provided by dependent agencies. Incident management and change management must identify and account for inter-agency dependencies.</w:t>
      </w:r>
    </w:p>
    <w:p>
      <w:pPr>
        <w:spacing w:after="160" w:line="320"/>
        <w:jc w:val="both"/>
      </w:pPr>
      <w:r>
        <w:rPr>
          <w:rFonts w:ascii="Georgia" w:cs="Georgia" w:eastAsia="Georgia" w:hAnsi="Georgia"/>
          <w:b w:val="false"/>
          <w:bCs w:val="false"/>
          <w:color w:val="111827"/>
          <w:sz w:val="22"/>
          <w:szCs w:val="22"/>
        </w:rPr>
        <w:t xml:space="preserve">Service level management for government services must explicitly define service hours that account for inter-agency support availability. If a service is only available 08:00-17:00 because a dependent agency only operates during those hours, this constraint must be documented in the SLA.</w:t>
      </w:r>
    </w:p>
    <w:p>
      <w:pPr>
        <w:pBdr>
          <w:bottom w:val="single" w:color="2563A8" w:sz="4" w:space="4"/>
        </w:pBdr>
        <w:spacing w:after="160" w:before="400"/>
      </w:pPr>
      <w:r>
        <w:rPr>
          <w:rFonts w:ascii="Arial" w:cs="Arial" w:eastAsia="Arial" w:hAnsi="Arial"/>
          <w:b/>
          <w:bCs/>
          <w:caps w:val="false"/>
          <w:color w:val="1B3A5C"/>
          <w:sz w:val="28"/>
          <w:szCs w:val="28"/>
        </w:rPr>
        <w:t xml:space="preserve">Internal Government IT Departments</w:t>
      </w:r>
    </w:p>
    <w:p>
      <w:pPr>
        <w:spacing w:after="160" w:line="320"/>
        <w:jc w:val="both"/>
      </w:pPr>
      <w:r>
        <w:rPr>
          <w:rFonts w:ascii="Georgia" w:cs="Georgia" w:eastAsia="Georgia" w:hAnsi="Georgia"/>
          <w:b w:val="false"/>
          <w:bCs w:val="false"/>
          <w:color w:val="111827"/>
          <w:sz w:val="22"/>
          <w:szCs w:val="22"/>
        </w:rPr>
        <w:t xml:space="preserve">Internal government IT organizations can use ISO 20000 to formalize service management practices. Service delivery to government agencies (internal customers) can be structured through SLAs and service reviews consistent with ISO 20000 governance. ISO 20000 certification for internal government IT departments is less common than for external IT service providers, but the discipline and formality of ISO 20000 governance improves government IT service delivery quality.</w:t>
      </w:r>
    </w:p>
    <w:p>
      <w:pPr>
        <w:spacing w:after="160" w:line="320"/>
        <w:jc w:val="both"/>
      </w:pPr>
      <w:r>
        <w:rPr>
          <w:rFonts w:ascii="Georgia" w:cs="Georgia" w:eastAsia="Georgia" w:hAnsi="Georgia"/>
          <w:b w:val="false"/>
          <w:bCs w:val="false"/>
          <w:color w:val="111827"/>
          <w:sz w:val="22"/>
          <w:szCs w:val="22"/>
        </w:rPr>
        <w:t xml:space="preserve">ISO 20000 certification by internal government IT departments demonstrates to government auditors and inspectors that IT service management has been independently verified as meeting an international standard. This strengthens the credibility of IT governance within government.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Post-PDNS, Indonesian government procurement for IT services has moved decisively toward requiring independently verified service management and security capability. ISO 20000 + ISO 27001 certification is the most credible response to this requirement.</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Government clients have specific requirements around incident communication, data sovereignty, and audit rights that must be reflected in the SMS SLA and service review process. Generic MSP SLAs are typically insufficient for government clients without modification.</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provides SPBE compliance mapping and government IT vendor SMS templates for Indonesian public sector IT providers.</w:t>
            </w:r>
          </w:p>
        </w:tc>
      </w:tr>
    </w:tbl>
    <w:p>
      <w:pPr>
        <w:pBdr>
          <w:bottom w:val="single" w:color="2563A8" w:sz="4" w:space="4"/>
        </w:pBdr>
        <w:spacing w:after="160" w:before="400"/>
      </w:pPr>
      <w:r>
        <w:rPr>
          <w:rFonts w:ascii="Arial" w:cs="Arial" w:eastAsia="Arial" w:hAnsi="Arial"/>
          <w:b/>
          <w:bCs/>
          <w:caps w:val="false"/>
          <w:color w:val="1B3A5C"/>
          <w:sz w:val="28"/>
          <w:szCs w:val="28"/>
        </w:rPr>
        <w:t xml:space="preserve">SPBE Requirements vs ISO 20000 Alignment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SPBE Requirement</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Regulatory Reference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ISO 20000 Clause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Implementation Notes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IT services must be documented with defined availability targets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Perpres 95/2018; Permenko 11/2019</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8.2 Service portfolio; 8.3 Relationship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portfolio documents all services with SLA availability targets; separate SLA for each service type or tier</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Incidents must be detected and managed with defined response times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SPBE audit criteria</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8.6.1 Incident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Establish incident detection mechanisms, categorization by severity, SLA response targets, escalation procedures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Changes must be tested before deployment; rollback capability required</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SPBE change control requirements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8.6.5 Change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Change advisory board, impact assessment, test environment, rollback procedure, post-impl review</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IT infrastructure must be maintained in known configuration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SPBE asset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8.6.4 Configuration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CMDB or CI tracking system; CI relationship mapping; baseline snapshots; change audit trail</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Service availability must be monitored and reported</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SPBE performance measurement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8.7.1 Availability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Monitoring tools; availability metrics; trending; monthly/quarterly reporting to government stakeholders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Disaster recovery and business continuity must be planned and tested</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SPBE continuity requirements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8.7.2 Service continuity management; 8.7.3 Information security continuity</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RTO/RPO definition; continuity plans; annual testing with documented results; communication plans</w:t>
            </w:r>
          </w:p>
        </w:tc>
      </w:tr>
    </w:tbl>
    <w:p>
      <w:pPr>
        <w:pBdr>
          <w:bottom w:val="single" w:color="2563A8" w:sz="4" w:space="4"/>
        </w:pBdr>
        <w:spacing w:after="160" w:before="400"/>
      </w:pPr>
      <w:r>
        <w:rPr>
          <w:rFonts w:ascii="Arial" w:cs="Arial" w:eastAsia="Arial" w:hAnsi="Arial"/>
          <w:b/>
          <w:bCs/>
          <w:caps w:val="false"/>
          <w:color w:val="1B3A5C"/>
          <w:sz w:val="28"/>
          <w:szCs w:val="28"/>
        </w:rPr>
        <w:t xml:space="preserve">Government Procurement ISO 20000 Relevance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Procurement Stage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Evaluation Criteria</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ISO 20000 Evidence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Competitive Advantage</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Vendor Pre-Qualification (SIKAP)</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Vendor certifications; past performance in government contracts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ISO 20000 certificate with current scope; past government project case studies demonstrating SMS maturity</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Vendors without ISO 20000 certification are pre-disqualified from many government tenders; SIKAP registration with current ISO 20000 certification moves vendor to higher qualification tier</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Technical Evaluation (RFP)</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IT service management methodology; ITIL capability; incident/change management processes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ISO 20000 scope statement clearly describing services covered; certified SMS procedures; proof of previous government project experience with same services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Certified competitors advance to evaluation shortlist; uncertified competitors filtered out in preliminary round; ISO 20000 certification is often weighted 20-30% of technical score</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Past Performance Assessment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SLA compliance data; incident handling examples; client references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Certified SMS generates documented incident records, change logs, availability reports, and SLA compliance metrics that satisfy government evaluation requirements; government client references can be provided with client permission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Certified providers can reference documented SMS performance data; uncertified competitors offer anecdotal evidence or proprietary reports of varying credibility</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Contract Negotiation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Audit rights; audit scope; audit frequency</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ISO 20000 certification allows government client to accept certification audit as partial satisfaction of audit rights; contract may specify audits 'in addition to external ISO certification audit' rather than 'in lieu of'; reduces frequency/burden of government-specific audits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Certified providers negotiate lower audit burden and lower audit costs; uncertified providers face extensive government-mandated audits of SMS capability</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Contract Performance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Monthly/quarterly SLA reporting; incident escalation; change coordination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Certified SMS generates standard SLA reports, incident logs, and change coordination documents that align with government reporting expectations; no custom reporting development needed</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Certified providers deliver higher-quality governance documentation with lower administrative cost; reporting aligns with government expectations</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2026-04-05T09:59:04.869Z</dcterms:created>
  <dcterms:modified xsi:type="dcterms:W3CDTF">2026-04-05T09:59:04.869Z</dcterms:modified>
</cp:coreProperties>
</file>

<file path=docProps/custom.xml><?xml version="1.0" encoding="utf-8"?>
<Properties xmlns="http://schemas.openxmlformats.org/officeDocument/2006/custom-properties" xmlns:vt="http://schemas.openxmlformats.org/officeDocument/2006/docPropsVTypes"/>
</file>